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MintClinic Business Associate Agreement Template</w:t>
      </w:r>
    </w:p>
    <w:p>
      <w:pPr>
        <w:jc w:val="center"/>
      </w:pPr>
      <w:r>
        <w:t>Updated July 8, 2026</w:t>
      </w:r>
    </w:p>
    <w:p>
      <w:r>
        <w:t>This template summarizes Mintpath's standard Business Associate Agreement for MintClinic onboarding. It is provided for review and execution workflow support. The final countersigned agreement between the clinic and Mintpath controls.</w:t>
      </w:r>
    </w:p>
    <w:p>
      <w:pPr>
        <w:pStyle w:val="Heading1"/>
      </w:pPr>
      <w:r>
        <w:t>Parties</w:t>
      </w:r>
    </w:p>
    <w:p>
      <w:r>
        <w:t>Covered Entity: the subscribing clinic or hearing-care organization.</w:t>
      </w:r>
    </w:p>
    <w:p>
      <w:r>
        <w:t>Business Associate: Mintpath, provider of the MintClinic service.</w:t>
      </w:r>
    </w:p>
    <w:p>
      <w:pPr>
        <w:pStyle w:val="Heading1"/>
      </w:pPr>
      <w:r>
        <w:t>Permitted Uses Of PHI</w:t>
      </w:r>
    </w:p>
    <w:p>
      <w:r>
        <w:t>Mintpath may use and disclose protected health information only to provide, secure, maintain, and support MintClinic for the Covered Entity, as permitted by the executed agreement and required by law.</w:t>
      </w:r>
    </w:p>
    <w:p>
      <w:r>
        <w:t>Mintpath will not sell PHI, use PHI for advertising, or use PHI for purposes unrelated to providing the service.</w:t>
      </w:r>
    </w:p>
    <w:p>
      <w:pPr>
        <w:pStyle w:val="Heading1"/>
      </w:pPr>
      <w:r>
        <w:t>Safeguards</w:t>
      </w:r>
    </w:p>
    <w:p>
      <w:pPr>
        <w:pStyle w:val="ListBullet"/>
      </w:pPr>
      <w:r>
        <w:t>Technical safeguards include tenant row-level isolation, TLS in transit, encryption at rest, multi-factor authentication, least-privilege access, and audit logging.</w:t>
      </w:r>
    </w:p>
    <w:p>
      <w:pPr>
        <w:pStyle w:val="ListBullet"/>
      </w:pPr>
      <w:r>
        <w:t>Administrative safeguards include access reviews, secrets management, incident response procedures, and workforce access controls.</w:t>
      </w:r>
    </w:p>
    <w:p>
      <w:pPr>
        <w:pStyle w:val="ListBullet"/>
      </w:pPr>
      <w:r>
        <w:t>Physical safeguards are inherited from infrastructure providers that maintain SOC 2 or ISO 27001-aligned controls.</w:t>
      </w:r>
    </w:p>
    <w:p>
      <w:pPr>
        <w:pStyle w:val="Heading1"/>
      </w:pPr>
      <w:r>
        <w:t>Subcontractors</w:t>
      </w:r>
    </w:p>
    <w:p>
      <w:r>
        <w:t>Mintpath will require subcontractors that handle PHI on Mintpath's behalf to agree in writing to restrictions and safeguards at least as protective as the executed BAA.</w:t>
      </w:r>
    </w:p>
    <w:p>
      <w:pPr>
        <w:pStyle w:val="Heading1"/>
      </w:pPr>
      <w:r>
        <w:t>Breach Notification</w:t>
      </w:r>
    </w:p>
    <w:p>
      <w:r>
        <w:t>Mintpath will report uses or disclosures not permitted by the BAA, including breaches of unsecured PHI, without unreasonable delay and as required by HIPAA.</w:t>
      </w:r>
    </w:p>
    <w:p>
      <w:pPr>
        <w:pStyle w:val="Heading1"/>
      </w:pPr>
      <w:r>
        <w:t>Access, Amendment, And Accounting</w:t>
      </w:r>
    </w:p>
    <w:p>
      <w:r>
        <w:t>Mintpath will make PHI available as needed for the Covered Entity to meet HIPAA obligations for individual access, amendment, and accounting of disclosures.</w:t>
      </w:r>
    </w:p>
    <w:p>
      <w:pPr>
        <w:pStyle w:val="Heading1"/>
      </w:pPr>
      <w:r>
        <w:t>Return Or Destruction</w:t>
      </w:r>
    </w:p>
    <w:p>
      <w:r>
        <w:t>On termination, Mintpath will return or securely destroy PHI at the Covered Entity's direction, except where retention is required by law.</w:t>
      </w:r>
    </w:p>
    <w:p>
      <w:pPr>
        <w:pStyle w:val="Heading1"/>
      </w:pPr>
      <w:r>
        <w:t>Execution</w:t>
      </w:r>
    </w:p>
    <w:p>
      <w:r>
        <w:t>For a countersigned BAA, redlines, or use of clinic paper, contact baa@mintpath.ai.</w:t>
      </w:r>
    </w:p>
    <w:p>
      <w:pPr>
        <w:pStyle w:val="Heading1"/>
      </w:pPr>
      <w:r>
        <w:t>HIPAA References</w:t>
      </w:r>
    </w:p>
    <w:p>
      <w:r>
        <w:t>This template is intended to support the requirements of 45 C.F.R. Sections 164.502(e), 164.504(e), and the HIPAA Security Rule at 45 C.F.R. Part 164, Subpart C.</w:t>
      </w:r>
    </w:p>
    <w:p>
      <w:pPr>
        <w:pStyle w:val="Heading1"/>
      </w:pPr>
      <w:r>
        <w:t>Disclaimer</w:t>
      </w:r>
    </w:p>
    <w:p>
      <w:r>
        <w:t>This template is not legal advice. The executed agreement between the parties controls.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